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4B53BB">
              <w:rPr>
                <w:rFonts w:ascii="Arial" w:hAnsi="Arial" w:cs="Arial"/>
                <w:sz w:val="20"/>
                <w:szCs w:val="20"/>
              </w:rPr>
              <w:t>30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4B53BB">
              <w:rPr>
                <w:rFonts w:ascii="Arial" w:hAnsi="Arial" w:cs="Arial"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2527D2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2527D2" w:rsidRDefault="002527D2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3E72CC">
                <w:rPr>
                  <w:rStyle w:val="a3"/>
                </w:rPr>
                <w:t>https://www.energoinvestcapital.ru/index.php?id=9</w:t>
              </w:r>
            </w:hyperlink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527D2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252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7D2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2527D2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2527D2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27D2">
              <w:rPr>
                <w:rFonts w:ascii="Arial" w:hAnsi="Arial" w:cs="Arial"/>
                <w:sz w:val="20"/>
                <w:szCs w:val="20"/>
              </w:rPr>
              <w:t>п</w:t>
            </w:r>
            <w:r w:rsidR="002527D2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B53B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18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5019EC" w:rsidP="000D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  <w:r w:rsidR="000D38C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5019EC" w:rsidP="000D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38C6">
              <w:rPr>
                <w:rFonts w:ascii="Arial" w:hAnsi="Arial" w:cs="Arial"/>
                <w:sz w:val="20"/>
                <w:szCs w:val="20"/>
              </w:rPr>
              <w:t>2,03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="00CB0295"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5019EC" w:rsidP="000D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251B1">
              <w:rPr>
                <w:rFonts w:ascii="Arial" w:hAnsi="Arial" w:cs="Arial"/>
                <w:sz w:val="20"/>
                <w:szCs w:val="20"/>
              </w:rPr>
              <w:t>,</w:t>
            </w:r>
            <w:r w:rsidR="000D38C6">
              <w:rPr>
                <w:rFonts w:ascii="Arial" w:hAnsi="Arial" w:cs="Arial"/>
                <w:sz w:val="20"/>
                <w:szCs w:val="20"/>
              </w:rPr>
              <w:t>91</w:t>
            </w:r>
            <w:r w:rsidR="004251B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F9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9" w:rsidRPr="00EF6616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9" w:rsidRDefault="00D243F9" w:rsidP="000D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</w:t>
            </w:r>
            <w:r w:rsidR="000D38C6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D243F9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D243F9" w:rsidP="000D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5B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D38C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7358CA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58399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5144CF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5A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  <w:r w:rsidR="005144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A00DC5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5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</w:rPr>
              <w:t>1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5A43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311A8F" w:rsidRPr="00311A8F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11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FDA">
              <w:rPr>
                <w:rFonts w:ascii="Arial" w:hAnsi="Arial" w:cs="Arial"/>
                <w:b/>
                <w:sz w:val="20"/>
                <w:szCs w:val="20"/>
              </w:rPr>
              <w:t>299,57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1C0FDA" w:rsidRPr="001C0F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C0FD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C0FDA" w:rsidRPr="001C0FDA">
              <w:rPr>
                <w:rFonts w:ascii="Arial" w:hAnsi="Arial" w:cs="Arial"/>
                <w:b/>
                <w:sz w:val="20"/>
                <w:szCs w:val="20"/>
              </w:rPr>
              <w:t>584</w:t>
            </w:r>
            <w:r w:rsidR="001C0FD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C0FDA" w:rsidRPr="001C0FDA">
              <w:rPr>
                <w:rFonts w:ascii="Arial" w:hAnsi="Arial" w:cs="Arial"/>
                <w:b/>
                <w:sz w:val="20"/>
                <w:szCs w:val="20"/>
              </w:rPr>
              <w:t>341</w:t>
            </w:r>
            <w:r w:rsidR="001C0F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FDA" w:rsidRPr="001C0FDA">
              <w:rPr>
                <w:rFonts w:ascii="Arial" w:hAnsi="Arial" w:cs="Arial"/>
                <w:b/>
                <w:sz w:val="20"/>
                <w:szCs w:val="20"/>
              </w:rPr>
              <w:t>949,35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27D2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nergoinvestcapital.ru/index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11</cp:revision>
  <dcterms:created xsi:type="dcterms:W3CDTF">2021-10-08T08:55:00Z</dcterms:created>
  <dcterms:modified xsi:type="dcterms:W3CDTF">2022-07-04T14:50:00Z</dcterms:modified>
</cp:coreProperties>
</file>